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50F6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Times New Roman"/>
          <w:b/>
          <w:sz w:val="36"/>
          <w:szCs w:val="32"/>
        </w:rPr>
      </w:pPr>
      <w:r>
        <w:rPr>
          <w:rFonts w:hint="default" w:ascii="宋体" w:hAnsi="宋体" w:eastAsia="宋体" w:cs="Times New Roman"/>
          <w:b/>
          <w:sz w:val="36"/>
          <w:szCs w:val="32"/>
        </w:rPr>
        <w:t>多导联远程心电监测数据筛查及预分析服务</w:t>
      </w:r>
    </w:p>
    <w:p w14:paraId="143EA1D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Times New Roman"/>
          <w:b/>
          <w:sz w:val="36"/>
          <w:szCs w:val="32"/>
        </w:rPr>
      </w:pPr>
      <w:r>
        <w:rPr>
          <w:rFonts w:hint="eastAsia" w:ascii="宋体" w:hAnsi="宋体" w:eastAsia="宋体" w:cs="Times New Roman"/>
          <w:b/>
          <w:sz w:val="36"/>
          <w:szCs w:val="32"/>
        </w:rPr>
        <w:t>项目需求书</w:t>
      </w:r>
    </w:p>
    <w:p w14:paraId="1A2B014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Times New Roman"/>
          <w:b/>
          <w:sz w:val="36"/>
          <w:szCs w:val="32"/>
        </w:rPr>
      </w:pPr>
    </w:p>
    <w:p w14:paraId="09172708">
      <w:pPr>
        <w:numPr>
          <w:ilvl w:val="0"/>
          <w:numId w:val="1"/>
        </w:numPr>
        <w:spacing w:line="360" w:lineRule="auto"/>
        <w:ind w:firstLine="480" w:firstLineChars="200"/>
        <w:rPr>
          <w:rFonts w:hint="eastAsia" w:ascii="黑体" w:hAnsi="黑体" w:eastAsia="黑体" w:cs="黑体"/>
          <w:sz w:val="24"/>
          <w:szCs w:val="24"/>
          <w:lang w:eastAsia="zh-CN"/>
        </w:rPr>
      </w:pPr>
      <w:r>
        <w:rPr>
          <w:rFonts w:hint="eastAsia" w:ascii="黑体" w:hAnsi="黑体" w:eastAsia="黑体" w:cs="黑体"/>
          <w:sz w:val="24"/>
          <w:szCs w:val="24"/>
        </w:rPr>
        <w:t>项目名称</w:t>
      </w:r>
      <w:r>
        <w:rPr>
          <w:rFonts w:hint="eastAsia" w:ascii="黑体" w:hAnsi="黑体" w:eastAsia="黑体" w:cs="黑体"/>
          <w:sz w:val="24"/>
          <w:szCs w:val="24"/>
          <w:lang w:eastAsia="zh-CN"/>
        </w:rPr>
        <w:t>：</w:t>
      </w:r>
    </w:p>
    <w:p w14:paraId="7B45137F">
      <w:pPr>
        <w:spacing w:line="360" w:lineRule="auto"/>
        <w:ind w:firstLine="480" w:firstLineChars="200"/>
        <w:rPr>
          <w:rFonts w:hint="eastAsia" w:ascii="仿宋" w:hAnsi="仿宋" w:eastAsia="仿宋" w:cs="Times New Roman"/>
          <w:sz w:val="24"/>
          <w:szCs w:val="24"/>
          <w:lang w:eastAsia="zh-CN"/>
        </w:rPr>
      </w:pPr>
      <w:r>
        <w:rPr>
          <w:rFonts w:hint="default" w:ascii="仿宋" w:hAnsi="仿宋" w:eastAsia="仿宋" w:cs="Times New Roman"/>
          <w:sz w:val="24"/>
          <w:szCs w:val="24"/>
        </w:rPr>
        <w:t>多导联远程心电监测数据筛查及预分析服务</w:t>
      </w:r>
    </w:p>
    <w:p w14:paraId="54BDA0FE">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项目背景和主要内容</w:t>
      </w:r>
    </w:p>
    <w:p w14:paraId="6AD1D075">
      <w:pPr>
        <w:spacing w:line="360" w:lineRule="auto"/>
        <w:ind w:firstLine="480" w:firstLineChars="200"/>
        <w:rPr>
          <w:rFonts w:ascii="仿宋" w:hAnsi="仿宋" w:eastAsia="仿宋" w:cs="Times New Roman"/>
          <w:sz w:val="24"/>
          <w:szCs w:val="24"/>
        </w:rPr>
      </w:pPr>
      <w:r>
        <w:rPr>
          <w:rFonts w:hint="eastAsia" w:ascii="仿宋" w:hAnsi="仿宋" w:eastAsia="仿宋" w:cs="Times New Roman"/>
          <w:sz w:val="24"/>
          <w:szCs w:val="24"/>
        </w:rPr>
        <w:t>本项</w:t>
      </w:r>
      <w:r>
        <w:rPr>
          <w:rFonts w:hint="eastAsia" w:ascii="仿宋" w:hAnsi="仿宋" w:eastAsia="仿宋" w:cs="Times New Roman"/>
          <w:sz w:val="24"/>
          <w:szCs w:val="24"/>
          <w:lang w:val="en-US" w:eastAsia="zh-CN"/>
        </w:rPr>
        <w:t>目为健康体检科为拓展业务，拟引入多导联远程心电监测设备及数据预分析服务，对体检人群中心血管高危者开展24小时连续心电监测，由第三方专业机构提供数据预分析及筛查报告，并协助体检科对异常结果进行随访支持，体检科负责临床接诊、报告审核。</w:t>
      </w:r>
    </w:p>
    <w:p w14:paraId="51EC4E74">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项目预</w:t>
      </w:r>
      <w:r>
        <w:rPr>
          <w:rFonts w:hint="eastAsia" w:ascii="黑体" w:hAnsi="黑体" w:eastAsia="黑体" w:cs="黑体"/>
          <w:sz w:val="24"/>
          <w:szCs w:val="24"/>
          <w:lang w:eastAsia="zh-CN"/>
        </w:rPr>
        <w:t>算</w:t>
      </w:r>
      <w:r>
        <w:rPr>
          <w:rFonts w:hint="eastAsia" w:ascii="黑体" w:hAnsi="黑体" w:eastAsia="黑体" w:cs="黑体"/>
          <w:sz w:val="24"/>
          <w:szCs w:val="24"/>
          <w:lang w:val="en-US" w:eastAsia="zh-CN"/>
        </w:rPr>
        <w:t>:47,250.00 元</w:t>
      </w:r>
    </w:p>
    <w:p w14:paraId="26072DA3">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服务期限</w:t>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1年</w:t>
      </w:r>
    </w:p>
    <w:p w14:paraId="4996171C">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投标供应商</w:t>
      </w:r>
      <w:r>
        <w:rPr>
          <w:rFonts w:hint="eastAsia" w:ascii="黑体" w:hAnsi="黑体" w:eastAsia="黑体" w:cs="黑体"/>
          <w:sz w:val="24"/>
          <w:szCs w:val="24"/>
          <w:lang w:val="en-US" w:eastAsia="zh-CN"/>
        </w:rPr>
        <w:t>基本</w:t>
      </w:r>
      <w:r>
        <w:rPr>
          <w:rFonts w:hint="eastAsia" w:ascii="黑体" w:hAnsi="黑体" w:eastAsia="黑体" w:cs="黑体"/>
          <w:sz w:val="24"/>
          <w:szCs w:val="24"/>
        </w:rPr>
        <w:t>要求</w:t>
      </w:r>
    </w:p>
    <w:p w14:paraId="6F04DB5D">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投标人须在中华人民共和国境内注册的独立法人或其他组织，具有合法有效的营业执照，经营范围须涵盖本项目相关技术服务内容；</w:t>
      </w:r>
    </w:p>
    <w:p w14:paraId="65BD62E6">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投标人须具备开展心电数据分析或远程心电监测技术服务的相关资质及专业能力；</w:t>
      </w:r>
    </w:p>
    <w:p w14:paraId="7698A886">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投标人须具有履行合同所必需的设备、专业技术能力和售后服务能力；</w:t>
      </w:r>
    </w:p>
    <w:p w14:paraId="5FAF3F63">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投标人须具备完善的数据安全管理制度，确保患者隐私及医疗数据安全，符合《中华人民共和国个人信息保护法》《中华人民共和国数据安全法》等相关法律法规要求；</w:t>
      </w:r>
    </w:p>
    <w:p w14:paraId="7CE5A30F">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参加本次采购活动前三年内，没有重大违法记录；</w:t>
      </w:r>
    </w:p>
    <w:p w14:paraId="53E27114">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单位负责人为同一人或者存在直接控股、管理关系的不同投标人，不得同时参加本项目投标；</w:t>
      </w:r>
    </w:p>
    <w:p w14:paraId="127C980A">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商务需求（根据具体项目内容自拟）</w:t>
      </w:r>
    </w:p>
    <w:p w14:paraId="2CD628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rPr>
        <w:t>1.投标报价包括：</w:t>
      </w:r>
      <w:r>
        <w:rPr>
          <w:rFonts w:hint="eastAsia" w:ascii="仿宋" w:hAnsi="仿宋" w:eastAsia="仿宋" w:cs="Times New Roman"/>
          <w:sz w:val="24"/>
          <w:szCs w:val="24"/>
          <w:lang w:val="en-US" w:eastAsia="zh-CN"/>
        </w:rPr>
        <w:t>人民币 47,250.00 元（本项目按单价据实结算，投标报价应包含完成本项目所需的全部费用,包括但不限于设备使用费、数据分析费、人工费、耗材费、税费等）</w:t>
      </w:r>
    </w:p>
    <w:p w14:paraId="6CA7FD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default" w:ascii="仿宋" w:hAnsi="仿宋" w:eastAsia="仿宋" w:cs="Times New Roman"/>
          <w:sz w:val="24"/>
          <w:szCs w:val="24"/>
          <w:lang w:val="en-US" w:eastAsia="zh-CN"/>
        </w:rPr>
      </w:pPr>
      <w:r>
        <w:rPr>
          <w:rFonts w:hint="eastAsia" w:ascii="仿宋" w:hAnsi="仿宋" w:eastAsia="仿宋" w:cs="Times New Roman"/>
          <w:sz w:val="24"/>
          <w:szCs w:val="24"/>
        </w:rPr>
        <w:t>2.付款方式</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合同期满一次性结算</w:t>
      </w:r>
    </w:p>
    <w:p w14:paraId="6ABB31C5">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服务技术需求</w:t>
      </w:r>
    </w:p>
    <w:tbl>
      <w:tblPr>
        <w:tblStyle w:val="4"/>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3"/>
        <w:gridCol w:w="876"/>
        <w:gridCol w:w="5840"/>
        <w:gridCol w:w="903"/>
      </w:tblGrid>
      <w:tr w14:paraId="0FF363F5">
        <w:trPr>
          <w:trHeight w:val="0" w:hRule="atLeast"/>
          <w:tblHeader/>
          <w:jc w:val="center"/>
        </w:trPr>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FC84AA">
            <w:pPr>
              <w:keepNext w:val="0"/>
              <w:keepLines w:val="0"/>
              <w:widowControl/>
              <w:suppressLineNumbers w:val="0"/>
              <w:snapToGrid w:val="0"/>
              <w:ind w:left="0" w:leftChars="0" w:right="0" w:rightChars="0" w:firstLine="0" w:firstLineChars="0"/>
              <w:jc w:val="center"/>
              <w:textAlignment w:val="center"/>
              <w:rPr>
                <w:rFonts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序号</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673503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项目内容</w:t>
            </w: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78A383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参数</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B0A3C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备注</w:t>
            </w:r>
          </w:p>
        </w:tc>
      </w:tr>
      <w:tr w14:paraId="7C8F3C9B">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29961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130CE2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BE0C12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穿戴式动态心电记录仪可实现连续24小时、72小时不间断三导的心电数据采集和存储；</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163CF4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35BA139">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6D261D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3EDAF4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0FB0DC9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采样精度≥24位；</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AC6E05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7AC2289">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5FFF70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C08D26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0E2BF92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输入阻抗：</w:t>
            </w:r>
            <w:r>
              <w:rPr>
                <w:rFonts w:ascii="仿宋" w:hAnsi="PingFang SC" w:eastAsia="仿宋" w:cs="PingFang SC"/>
                <w:i w:val="0"/>
                <w:iCs w:val="0"/>
                <w:color w:val="111111"/>
                <w:kern w:val="0"/>
                <w:sz w:val="24"/>
                <w:szCs w:val="24"/>
                <w:u w:val="none"/>
                <w:lang w:val="en-US" w:eastAsia="zh-CN" w:bidi="ar"/>
              </w:rPr>
              <w:t>≥</w:t>
            </w:r>
            <w:r>
              <w:rPr>
                <w:rFonts w:hint="eastAsia" w:ascii="仿宋" w:hAnsi="宋体" w:eastAsia="仿宋" w:cs="宋体"/>
                <w:i w:val="0"/>
                <w:iCs w:val="0"/>
                <w:color w:val="111111"/>
                <w:kern w:val="0"/>
                <w:sz w:val="24"/>
                <w:szCs w:val="24"/>
                <w:u w:val="none"/>
                <w:lang w:val="en-US" w:eastAsia="zh-CN" w:bidi="ar"/>
              </w:rPr>
              <w:t>50M</w:t>
            </w:r>
            <w:r>
              <w:rPr>
                <w:rFonts w:ascii="仿宋" w:hAnsi="PingFang SC" w:eastAsia="仿宋" w:cs="PingFang SC"/>
                <w:i w:val="0"/>
                <w:iCs w:val="0"/>
                <w:color w:val="111111"/>
                <w:kern w:val="0"/>
                <w:sz w:val="24"/>
                <w:szCs w:val="24"/>
                <w:u w:val="none"/>
                <w:lang w:val="en-US" w:eastAsia="zh-CN" w:bidi="ar"/>
              </w:rPr>
              <w:t>Ω</w:t>
            </w:r>
            <w:r>
              <w:rPr>
                <w:rFonts w:hint="eastAsia" w:ascii="仿宋" w:hAnsi="宋体" w:eastAsia="仿宋" w:cs="宋体"/>
                <w:i w:val="0"/>
                <w:iCs w:val="0"/>
                <w:color w:val="111111"/>
                <w:kern w:val="0"/>
                <w:sz w:val="24"/>
                <w:szCs w:val="24"/>
                <w:u w:val="none"/>
                <w:lang w:val="en-US" w:eastAsia="zh-CN" w:bidi="ar"/>
              </w:rPr>
              <w:t>；</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7FBB2CC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A30BA67">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F6354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E07A9E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3B5FC5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共模抑制比：＞98dB；</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5523651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79823C1">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5DCF33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1B4035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F01228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系统噪声：</w:t>
            </w:r>
            <w:r>
              <w:rPr>
                <w:rFonts w:ascii="仿宋" w:hAnsi="PingFang SC" w:eastAsia="仿宋" w:cs="PingFang SC"/>
                <w:i w:val="0"/>
                <w:iCs w:val="0"/>
                <w:color w:val="111111"/>
                <w:kern w:val="0"/>
                <w:sz w:val="24"/>
                <w:szCs w:val="24"/>
                <w:u w:val="none"/>
                <w:lang w:val="en-US" w:eastAsia="zh-CN" w:bidi="ar"/>
              </w:rPr>
              <w:t>≤</w:t>
            </w:r>
            <w:r>
              <w:rPr>
                <w:rFonts w:hint="eastAsia" w:ascii="仿宋" w:hAnsi="宋体" w:eastAsia="仿宋" w:cs="宋体"/>
                <w:i w:val="0"/>
                <w:iCs w:val="0"/>
                <w:color w:val="111111"/>
                <w:kern w:val="0"/>
                <w:sz w:val="24"/>
                <w:szCs w:val="24"/>
                <w:u w:val="none"/>
                <w:lang w:val="en-US" w:eastAsia="zh-CN" w:bidi="ar"/>
              </w:rPr>
              <w:t>15</w:t>
            </w:r>
            <w:r>
              <w:rPr>
                <w:rFonts w:ascii="仿宋" w:hAnsi="PingFang SC" w:eastAsia="仿宋" w:cs="PingFang SC"/>
                <w:i w:val="0"/>
                <w:iCs w:val="0"/>
                <w:color w:val="111111"/>
                <w:kern w:val="0"/>
                <w:sz w:val="24"/>
                <w:szCs w:val="24"/>
                <w:u w:val="none"/>
                <w:lang w:val="en-US" w:eastAsia="zh-CN" w:bidi="ar"/>
              </w:rPr>
              <w:t>μ</w:t>
            </w:r>
            <w:r>
              <w:rPr>
                <w:rFonts w:hint="eastAsia" w:ascii="仿宋" w:hAnsi="宋体" w:eastAsia="仿宋" w:cs="宋体"/>
                <w:i w:val="0"/>
                <w:iCs w:val="0"/>
                <w:color w:val="111111"/>
                <w:kern w:val="0"/>
                <w:sz w:val="24"/>
                <w:szCs w:val="24"/>
                <w:u w:val="none"/>
                <w:lang w:val="en-US" w:eastAsia="zh-CN" w:bidi="ar"/>
              </w:rPr>
              <w:t>V；</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FBA5AB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747B79D1">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9C85B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7BBBB2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280B863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频率响应：0.05Hz-80Hz；</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3ACCF9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9B7DB3E">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AA083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565C09F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B1E8E6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支持USB数据导出；</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0E0803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29FC727">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78719E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50BF984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A0969E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支持蓝牙通信，将波形数据以蓝牙方式实时传输到外部终端；</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0CD288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458FBAF">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26C584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6A3EA81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F432B4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能记录3D Sensor（加速度传感器）数据；</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9D552F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96952E7">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7CB54B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55D601B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125221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配套电极片即穿戴式心电传感器，具备II类医疗器械注册证</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1EE0E2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38730C69">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2CD483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6CCB80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C2CDF5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动态心电分析软件由系统管理、数据管理、心电分析、设备管理等模块组成。</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1EF3853">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F349A6E">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024772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1177280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686C6D5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动态心电分析软件与经验证的动态心电图设备联合使用，适用于医疗机构对患者动态心电数据的导入、回放、测量与分析、编辑、报告和实时显示，供临床诊断。</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A6D1AD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77C7B62">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663961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0D25B8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72E737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动态心电分析软件可同时支持60台以上设备与服务器之间交互，支持同时在线查看、调用及诊断。</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B075C23">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1C6A33C0">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276C39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F1CE835">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28DC9B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软件支持通过USB高速电缆、SD卡读卡器、无线蓝牙传输三种方式传输动态心电图数据；</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CE3AB15">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C5B0F83">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97075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16B2F3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581CF13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软件须支持第三方心电数据导入，其功能经过注册检验认证。</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51C267B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6C0DACF">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7CDE80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C2D9D5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F7857E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每台设备与服务器之间的连接是独立的，通过TCP/IP协议传输心电数据文件，接收数据并展示心电波形。</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11D197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79750C22">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69B390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7CF1AA3">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069A441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动态心电分析软件具有自动分析功能；支持用户事件、房早事件、室早事件、心率事件的自动分析；</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4A432D1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5E09B38">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0478AB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0581DC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68FF7A7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支持心搏检测和分类、心律失常的自动分析、ST段测量等自动分析功能，结果作为诊断参考；</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1701BF1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30E642D">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66DCB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E2A085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2873DAC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具有起搏器分析模块，支持自动分析并显示起搏心搏。</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82312BF">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242578D">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0B74D8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6B9EF8D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A24828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系统无需人为操作，即可自动识别起搏器特殊功能运作、起搏器厂家，识别起搏器厂家不少于3家</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2AA924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0E415CC">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74000F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6A4F20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5C6C3F6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诊断图界面支持自动识别心搏类型，可添加和修改心拍，支持往前或往后批量插入心搏；</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7F8E7FA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3DB0056F">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20F6D2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F5D0AD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01219B8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诊断图界面支持选择片段波形后进行重新解析，支持手动设置无效波形；</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48D5B8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9B3D054">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16ACC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05E41C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60ECF7F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支持导联纠错功能及分段导联纠错功能；</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7C86B20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9C160A6">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5CDDE5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CC7F6E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76A717E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支持全览图、直方图、散点图、K线图、栅栏图、RR间期、PR间期图等功能；</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D364D5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9F0C40B">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1679E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6616B1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2E3E400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全览图可通览整个采集期间的心电图谱，异常波形用颜色标记；</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1703F10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39F3A20A">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4B471D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05F0EA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2F276C7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支持心率、RR间期、RR间期比直方图；</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1EF9DF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492CFBE">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97EF5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13314BE">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1C18A67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具备Lorenz散点图、差值散点图、组合散点图分析；</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54392DF">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15A286C4">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4E1C2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4F8FB2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5AD9553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组合散点图，通过心搏的特征选择相应的心搏参数（可选提前量、R波幅度、S波幅度、P波幅度、间期、代偿间期、QRS面积、QRS宽度、等方式作为X、Y轴坐标），形成不同的吸引子，快速区分形态不一样的心搏；</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91517C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60E691D">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5ED3CA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D49D6FF">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2087D79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K线图：支持以K线图的方式展示心搏间期变化；</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7EFB338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627897F">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0DEDB7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13B98AE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DAC78A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栅栏图：支持以柱状图的形式展示一段时间的平均心率；</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5E9F56E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992665C">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0B3A18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6145EE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64FB7F0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支持P波反混淆，可单独叠加放大所选心搏的P波，可快速区分P波形态差异心搏</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01E407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F5426EC">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7DAAAF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3842B6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7A94C6C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支持房颤快速分析功能，可分析患者房颤发生的时间段和阵数并用列表形式展示房颤类型、发生时间和持续时间。</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44F34AC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9CDD729">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69BB4C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7C11C9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53B1899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支持HRV分析、T波电交替、心率减速力、心率震荡、睡眠呼吸暂停、心室晚电位、心房晚电位、瀑布图等高级分析功能。</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85F9A9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893583B">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A6241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08B541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5301407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支持ST段扫描和参数编辑，可调整任意导联抬高压低参数；</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9CCB67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F30D353">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23E224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6E5C08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2A565A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支持不同心搏分类模板整体叠加反混淆，快速定位异常心博；</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573ABDE">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A4A0C5B">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235076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876" w:type="dxa"/>
            <w:tcBorders>
              <w:top w:val="single" w:color="000000" w:sz="8" w:space="0"/>
              <w:left w:val="nil"/>
              <w:bottom w:val="single" w:color="000000" w:sz="8" w:space="0"/>
              <w:right w:val="single" w:color="000000" w:sz="8" w:space="0"/>
            </w:tcBorders>
            <w:shd w:val="clear" w:color="auto" w:fill="auto"/>
            <w:vAlign w:val="center"/>
          </w:tcPr>
          <w:p w14:paraId="4827D8F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7D28808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0B8AAF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bl>
    <w:p w14:paraId="6E104A8C">
      <w:pPr>
        <w:numPr>
          <w:ilvl w:val="0"/>
          <w:numId w:val="0"/>
        </w:numPr>
        <w:spacing w:line="360" w:lineRule="auto"/>
        <w:rPr>
          <w:rFonts w:hint="eastAsia" w:ascii="黑体" w:hAnsi="黑体" w:eastAsia="黑体" w:cs="黑体"/>
          <w:sz w:val="24"/>
          <w:szCs w:val="24"/>
        </w:rPr>
      </w:pPr>
    </w:p>
    <w:p w14:paraId="44309533">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对服务承诺要求：</w:t>
      </w:r>
    </w:p>
    <w:p w14:paraId="53D528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lang w:val="en-US" w:eastAsia="zh-CN"/>
        </w:rPr>
        <w:t>1.</w:t>
      </w:r>
      <w:r>
        <w:rPr>
          <w:rFonts w:hint="eastAsia" w:ascii="仿宋" w:hAnsi="仿宋" w:eastAsia="仿宋" w:cs="Times New Roman"/>
          <w:sz w:val="24"/>
          <w:szCs w:val="24"/>
        </w:rPr>
        <w:t>患者24小时摘机后，将在</w:t>
      </w:r>
      <w:r>
        <w:rPr>
          <w:rFonts w:hint="eastAsia" w:ascii="仿宋" w:hAnsi="仿宋" w:eastAsia="仿宋" w:cs="Times New Roman"/>
          <w:sz w:val="24"/>
          <w:szCs w:val="24"/>
          <w:lang w:val="en-US" w:eastAsia="zh-CN"/>
        </w:rPr>
        <w:t>4</w:t>
      </w:r>
      <w:r>
        <w:rPr>
          <w:rFonts w:hint="eastAsia" w:ascii="仿宋" w:hAnsi="仿宋" w:eastAsia="仿宋" w:cs="Times New Roman"/>
          <w:sz w:val="24"/>
          <w:szCs w:val="24"/>
        </w:rPr>
        <w:t>个工作小时内出具</w:t>
      </w:r>
      <w:r>
        <w:rPr>
          <w:rFonts w:hint="eastAsia" w:ascii="仿宋" w:hAnsi="仿宋" w:eastAsia="仿宋" w:cs="Times New Roman"/>
          <w:sz w:val="24"/>
          <w:szCs w:val="24"/>
          <w:lang w:val="en-US" w:eastAsia="zh-CN"/>
        </w:rPr>
        <w:t>多导联动态</w:t>
      </w:r>
      <w:r>
        <w:rPr>
          <w:rFonts w:hint="eastAsia" w:ascii="仿宋" w:hAnsi="仿宋" w:eastAsia="仿宋" w:cs="Times New Roman"/>
          <w:sz w:val="24"/>
          <w:szCs w:val="24"/>
        </w:rPr>
        <w:t>心电数据</w:t>
      </w:r>
      <w:r>
        <w:rPr>
          <w:rFonts w:hint="eastAsia" w:ascii="仿宋" w:hAnsi="仿宋" w:eastAsia="仿宋" w:cs="Times New Roman"/>
          <w:sz w:val="24"/>
          <w:szCs w:val="24"/>
          <w:lang w:val="en-US" w:eastAsia="zh-CN"/>
        </w:rPr>
        <w:t>预</w:t>
      </w:r>
      <w:r>
        <w:rPr>
          <w:rFonts w:hint="eastAsia" w:ascii="仿宋" w:hAnsi="仿宋" w:eastAsia="仿宋" w:cs="Times New Roman"/>
          <w:sz w:val="24"/>
          <w:szCs w:val="24"/>
        </w:rPr>
        <w:t>分析报告。</w:t>
      </w:r>
    </w:p>
    <w:p w14:paraId="6F217C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2.建立患者信息档案，借助动态心电监测平台，利用计算机辅助分析数据，后台心电医生为患者出具24小时</w:t>
      </w:r>
      <w:r>
        <w:rPr>
          <w:rFonts w:hint="eastAsia" w:ascii="仿宋" w:hAnsi="仿宋" w:eastAsia="仿宋" w:cs="Times New Roman"/>
          <w:sz w:val="24"/>
          <w:szCs w:val="24"/>
          <w:lang w:val="en-US" w:eastAsia="zh-CN"/>
        </w:rPr>
        <w:t>多导联</w:t>
      </w:r>
      <w:bookmarkStart w:id="0" w:name="_GoBack"/>
      <w:bookmarkEnd w:id="0"/>
      <w:r>
        <w:rPr>
          <w:rFonts w:hint="eastAsia" w:ascii="仿宋" w:hAnsi="仿宋" w:eastAsia="仿宋" w:cs="Times New Roman"/>
          <w:sz w:val="24"/>
          <w:szCs w:val="24"/>
        </w:rPr>
        <w:t>动态心电数据与</w:t>
      </w:r>
      <w:r>
        <w:rPr>
          <w:rFonts w:hint="eastAsia" w:ascii="仿宋" w:hAnsi="仿宋" w:eastAsia="仿宋" w:cs="Times New Roman"/>
          <w:sz w:val="24"/>
          <w:szCs w:val="24"/>
          <w:lang w:val="en-US" w:eastAsia="zh-CN"/>
        </w:rPr>
        <w:t>预</w:t>
      </w:r>
      <w:r>
        <w:rPr>
          <w:rFonts w:hint="eastAsia" w:ascii="仿宋" w:hAnsi="仿宋" w:eastAsia="仿宋" w:cs="Times New Roman"/>
          <w:sz w:val="24"/>
          <w:szCs w:val="24"/>
        </w:rPr>
        <w:t>分析报告交由医院审核后给患者。</w:t>
      </w:r>
    </w:p>
    <w:p w14:paraId="30F213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3.协助医院对报告异常患者的随访工作，包括：（异常报告解读、患者咨询、回访、邀约回院就诊等随访服务）</w:t>
      </w:r>
    </w:p>
    <w:p w14:paraId="49B87B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lang w:val="en-US" w:eastAsia="zh-CN"/>
        </w:rPr>
        <w:t>4.</w:t>
      </w:r>
      <w:r>
        <w:rPr>
          <w:rFonts w:hint="eastAsia" w:ascii="仿宋" w:hAnsi="仿宋" w:eastAsia="仿宋" w:cs="Times New Roman"/>
          <w:sz w:val="24"/>
          <w:szCs w:val="24"/>
        </w:rPr>
        <w:t>7天X24小时技术响应，2小时内维修工程师到达维修现场，24小时内不能修复提供备用机。保修期自验收合格之日起计算。</w:t>
      </w:r>
    </w:p>
    <w:p w14:paraId="56BB89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lang w:val="en-US" w:eastAsia="zh-CN"/>
        </w:rPr>
        <w:t>5</w:t>
      </w:r>
      <w:r>
        <w:rPr>
          <w:rFonts w:hint="eastAsia" w:ascii="仿宋" w:hAnsi="仿宋" w:eastAsia="仿宋" w:cs="Times New Roman"/>
          <w:sz w:val="24"/>
          <w:szCs w:val="24"/>
        </w:rPr>
        <w:t>.提供所产品服务期内免费上门保修(含易损件及维护专用配件)，服务期内免费更换零配件。</w:t>
      </w:r>
    </w:p>
    <w:p w14:paraId="0FCDD8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lang w:val="en-US" w:eastAsia="zh-CN"/>
        </w:rPr>
        <w:t>6</w:t>
      </w:r>
      <w:r>
        <w:rPr>
          <w:rFonts w:hint="eastAsia" w:ascii="仿宋" w:hAnsi="仿宋" w:eastAsia="仿宋" w:cs="Times New Roman"/>
          <w:sz w:val="24"/>
          <w:szCs w:val="24"/>
        </w:rPr>
        <w:t>.服务期内提供对使用人员、工程技术人员进行免费技术培训及应用培训</w:t>
      </w:r>
      <w:r>
        <w:rPr>
          <w:rFonts w:hint="eastAsia" w:ascii="仿宋" w:hAnsi="仿宋" w:eastAsia="仿宋" w:cs="Times New Roman"/>
          <w:sz w:val="24"/>
          <w:szCs w:val="24"/>
          <w:lang w:eastAsia="zh-CN"/>
        </w:rPr>
        <w:t>、</w:t>
      </w:r>
      <w:r>
        <w:rPr>
          <w:rFonts w:hint="eastAsia" w:ascii="仿宋" w:hAnsi="仿宋" w:eastAsia="仿宋" w:cs="Times New Roman"/>
          <w:sz w:val="24"/>
          <w:szCs w:val="24"/>
        </w:rPr>
        <w:t>保修期内至少每季度进行一次巡视保养，提供保养报告。</w:t>
      </w:r>
    </w:p>
    <w:p w14:paraId="79610B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lang w:val="en-US" w:eastAsia="zh-CN"/>
        </w:rPr>
        <w:t>7</w:t>
      </w:r>
      <w:r>
        <w:rPr>
          <w:rFonts w:hint="eastAsia" w:ascii="仿宋" w:hAnsi="仿宋" w:eastAsia="仿宋" w:cs="Times New Roman"/>
          <w:sz w:val="24"/>
          <w:szCs w:val="24"/>
        </w:rPr>
        <w:t>.协助医院提高医联体医院的诊疗水品，提高医院的影响力。</w:t>
      </w:r>
    </w:p>
    <w:p w14:paraId="78BBC6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lang w:val="en-US" w:eastAsia="zh-CN"/>
        </w:rPr>
        <w:t>8</w:t>
      </w:r>
      <w:r>
        <w:rPr>
          <w:rFonts w:hint="eastAsia" w:ascii="仿宋" w:hAnsi="仿宋" w:eastAsia="仿宋" w:cs="Times New Roman"/>
          <w:sz w:val="24"/>
          <w:szCs w:val="24"/>
        </w:rPr>
        <w:t>.可提供检测数据、病历档案、安全信息等数据存储等服务，并按照国家卫生部规定，每份监测数据和病历档案存储，为医院提供数据同步备份、应急灾备启动、灾难恢复等服务，保障数据服务 7*24小时无中断运行，保障医院患者心电数据的安全。</w:t>
      </w:r>
    </w:p>
    <w:p w14:paraId="616B8C56">
      <w:pPr>
        <w:spacing w:line="460" w:lineRule="exact"/>
        <w:ind w:firstLine="360" w:firstLineChars="150"/>
        <w:rPr>
          <w:rFonts w:ascii="仿宋" w:hAnsi="仿宋" w:eastAsia="仿宋" w:cs="Times New Roman"/>
          <w:sz w:val="24"/>
          <w:szCs w:val="24"/>
        </w:rPr>
      </w:pPr>
    </w:p>
    <w:p w14:paraId="24598912">
      <w:pPr>
        <w:spacing w:line="460" w:lineRule="exact"/>
        <w:ind w:firstLine="360" w:firstLineChars="150"/>
        <w:rPr>
          <w:rFonts w:ascii="仿宋" w:hAnsi="仿宋" w:eastAsia="仿宋" w:cs="Times New Roman"/>
          <w:sz w:val="24"/>
          <w:szCs w:val="24"/>
          <w:u w:val="single"/>
        </w:rPr>
      </w:pPr>
    </w:p>
    <w:p w14:paraId="5B2FB889">
      <w:pPr>
        <w:spacing w:line="360" w:lineRule="auto"/>
        <w:ind w:hanging="1"/>
        <w:jc w:val="center"/>
        <w:rPr>
          <w:rFonts w:ascii="宋体" w:hAnsi="宋体" w:eastAsia="宋体" w:cs="Times New Roman"/>
          <w:b/>
          <w:sz w:val="24"/>
        </w:rPr>
      </w:pPr>
    </w:p>
    <w:p w14:paraId="76629E9C">
      <w:pPr>
        <w:spacing w:line="360" w:lineRule="auto"/>
        <w:ind w:hanging="1"/>
        <w:jc w:val="center"/>
        <w:rPr>
          <w:rFonts w:ascii="宋体" w:hAnsi="宋体" w:eastAsia="宋体" w:cs="Times New Roman"/>
          <w:b/>
          <w:sz w:val="24"/>
        </w:rPr>
      </w:pPr>
    </w:p>
    <w:p w14:paraId="4F0B575B">
      <w:pPr>
        <w:spacing w:line="360" w:lineRule="auto"/>
        <w:ind w:hanging="1"/>
        <w:jc w:val="center"/>
        <w:rPr>
          <w:rFonts w:ascii="宋体" w:hAnsi="宋体" w:eastAsia="宋体" w:cs="Times New Roman"/>
          <w:b/>
          <w:sz w:val="24"/>
        </w:rPr>
      </w:pPr>
    </w:p>
    <w:p w14:paraId="7ED82EF3">
      <w:pPr>
        <w:ind w:firstLine="560" w:firstLineChars="200"/>
        <w:rPr>
          <w:rFonts w:ascii="仿宋" w:hAnsi="仿宋" w:eastAsia="仿宋"/>
          <w:sz w:val="28"/>
          <w:szCs w:val="28"/>
        </w:rPr>
      </w:pPr>
    </w:p>
    <w:p w14:paraId="78502B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PingFang SC">
    <w:panose1 w:val="020B0400000000000000"/>
    <w:charset w:val="86"/>
    <w:family w:val="auto"/>
    <w:pitch w:val="default"/>
    <w:sig w:usb0="A00002FF" w:usb1="7ACFFDFB" w:usb2="00000017"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9B11B"/>
    <w:multiLevelType w:val="singleLevel"/>
    <w:tmpl w:val="BEB9B11B"/>
    <w:lvl w:ilvl="0" w:tentative="0">
      <w:start w:val="1"/>
      <w:numFmt w:val="decimal"/>
      <w:lvlText w:val="%1."/>
      <w:lvlJc w:val="left"/>
      <w:pPr>
        <w:tabs>
          <w:tab w:val="left" w:pos="312"/>
        </w:tabs>
      </w:pPr>
    </w:lvl>
  </w:abstractNum>
  <w:abstractNum w:abstractNumId="1">
    <w:nsid w:val="418A2179"/>
    <w:multiLevelType w:val="singleLevel"/>
    <w:tmpl w:val="418A217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5ODBjNjhlNTJmZWE5N2VmNzVjODQ5ZTI3OWFjM2QifQ=="/>
  </w:docVars>
  <w:rsids>
    <w:rsidRoot w:val="00205598"/>
    <w:rsid w:val="00205598"/>
    <w:rsid w:val="002514A6"/>
    <w:rsid w:val="00643402"/>
    <w:rsid w:val="00910713"/>
    <w:rsid w:val="00920B66"/>
    <w:rsid w:val="00A91963"/>
    <w:rsid w:val="00D723A5"/>
    <w:rsid w:val="00FC143E"/>
    <w:rsid w:val="07152EBE"/>
    <w:rsid w:val="1386174C"/>
    <w:rsid w:val="1ADFAF36"/>
    <w:rsid w:val="1D5574BC"/>
    <w:rsid w:val="4C7016C6"/>
    <w:rsid w:val="4CE7BE18"/>
    <w:rsid w:val="590D0EE7"/>
    <w:rsid w:val="6EFDF3C2"/>
    <w:rsid w:val="76F934F7"/>
    <w:rsid w:val="77F66011"/>
    <w:rsid w:val="783D1C19"/>
    <w:rsid w:val="A3BF3A83"/>
    <w:rsid w:val="E5FF2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autoRedefine/>
    <w:semiHidden/>
    <w:qFormat/>
    <w:uiPriority w:val="99"/>
    <w:rPr>
      <w:sz w:val="18"/>
      <w:szCs w:val="18"/>
    </w:rPr>
  </w:style>
  <w:style w:type="character" w:customStyle="1" w:styleId="8">
    <w:name w:val="font21"/>
    <w:basedOn w:val="5"/>
    <w:uiPriority w:val="0"/>
    <w:rPr>
      <w:rFonts w:ascii="PingFang SC" w:hAnsi="PingFang SC" w:eastAsia="PingFang SC" w:cs="PingFang SC"/>
      <w:color w:val="111111"/>
      <w:sz w:val="24"/>
      <w:szCs w:val="24"/>
      <w:u w:val="none"/>
    </w:rPr>
  </w:style>
  <w:style w:type="character" w:customStyle="1" w:styleId="9">
    <w:name w:val="font31"/>
    <w:basedOn w:val="5"/>
    <w:uiPriority w:val="0"/>
    <w:rPr>
      <w:rFonts w:hint="eastAsia" w:ascii="宋体" w:hAnsi="宋体" w:eastAsia="宋体" w:cs="宋体"/>
      <w:color w:val="111111"/>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2190</Words>
  <Characters>2324</Characters>
  <Lines>9</Lines>
  <Paragraphs>2</Paragraphs>
  <TotalTime>18</TotalTime>
  <ScaleCrop>false</ScaleCrop>
  <LinksUpToDate>false</LinksUpToDate>
  <CharactersWithSpaces>2330</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2022-06-28T15:55:00Z</dcterms:created>
  <dc:creator>lenovo</dc:creator>
  <cp:lastModifiedBy>YM</cp:lastModifiedBy>
  <dcterms:modified xsi:type="dcterms:W3CDTF">2026-08-26T12:21:06Z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2F047C871EF44B57B77B59F6A2BECCD6_13</vt:lpwstr>
  </property>
  <property fmtid="{D5CDD505-2E9C-101B-9397-08002B2CF9AE}" pid="4" name="KSOTemplateDocerSaveRecord">
    <vt:lpwstr>eyJoZGlkIjoiNDcwODE5Yjc3MmI3N2Y0NzQ1ZTlmM2U3ZTczZWI1ODgiLCJ1c2VySWQiOiI5MjQ5MjQyNzYifQ==</vt:lpwstr>
  </property>
</Properties>
</file>